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7" w:rsidRDefault="00C21AE2">
      <w:pPr>
        <w:jc w:val="center"/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u w:color="4472C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4472C4"/>
          <w:sz w:val="24"/>
          <w:szCs w:val="24"/>
          <w:u w:color="4472C4"/>
        </w:rPr>
        <w:t>Уважаемые коллеги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</w:rPr>
        <w:t>!</w:t>
      </w:r>
    </w:p>
    <w:p w:rsidR="002C5D37" w:rsidRDefault="00C21A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принять участие в конкурсе «Лучшие образовательные практики ТГУ»</w:t>
      </w:r>
      <w:r>
        <w:rPr>
          <w:rFonts w:ascii="Times New Roman" w:hAnsi="Times New Roman"/>
          <w:sz w:val="24"/>
          <w:szCs w:val="24"/>
        </w:rPr>
        <w:t>.</w:t>
      </w:r>
    </w:p>
    <w:p w:rsidR="002C5D37" w:rsidRDefault="00C21A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Центр развития качества образования</w:t>
      </w:r>
      <w:r>
        <w:rPr>
          <w:rFonts w:ascii="Times New Roman" w:hAnsi="Times New Roman"/>
          <w:sz w:val="24"/>
          <w:szCs w:val="24"/>
        </w:rPr>
        <w:t xml:space="preserve"> совместно с </w:t>
      </w:r>
      <w:r>
        <w:rPr>
          <w:rFonts w:ascii="Times New Roman" w:hAnsi="Times New Roman"/>
          <w:i/>
          <w:iCs/>
          <w:sz w:val="24"/>
          <w:szCs w:val="24"/>
        </w:rPr>
        <w:t>Управлением развития персонала</w:t>
      </w:r>
      <w:r>
        <w:rPr>
          <w:rFonts w:ascii="Times New Roman" w:hAnsi="Times New Roman"/>
          <w:sz w:val="24"/>
          <w:szCs w:val="24"/>
        </w:rPr>
        <w:t xml:space="preserve"> проводит конкурс на соискание премий </w:t>
      </w:r>
      <w:r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 xml:space="preserve">года за высокие достижения в </w:t>
      </w:r>
      <w:r>
        <w:rPr>
          <w:rFonts w:ascii="Times New Roman" w:hAnsi="Times New Roman"/>
          <w:sz w:val="24"/>
          <w:szCs w:val="24"/>
        </w:rPr>
        <w:t>области образования в ТГУ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 конкурса – совершенствование учебного процесса в ТГУ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поддержка развития инновационных образовательных практик и поощрение сотрудников университета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достигших высоких результатов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C5D37" w:rsidRDefault="00C21A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</w:t>
      </w:r>
      <w:r>
        <w:rPr>
          <w:rFonts w:ascii="Times New Roman" w:hAnsi="Times New Roman"/>
          <w:sz w:val="24"/>
          <w:szCs w:val="24"/>
        </w:rPr>
        <w:t>одится по следующим номинациям</w:t>
      </w:r>
      <w:r>
        <w:rPr>
          <w:rFonts w:ascii="Times New Roman" w:hAnsi="Times New Roman"/>
          <w:sz w:val="24"/>
          <w:szCs w:val="24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Лучшая открытая лекция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Лучший 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)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Лучшая практика оценки образовательных результатов с участием студентов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Лучшая практика подготовки к олимпиаде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Лучшая практика организации образования с </w:t>
      </w:r>
      <w:r>
        <w:rPr>
          <w:rFonts w:ascii="Times New Roman" w:hAnsi="Times New Roman"/>
          <w:sz w:val="24"/>
          <w:szCs w:val="24"/>
        </w:rPr>
        <w:t>участием работодателей и выпускников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6.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Лучшая практика работы с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мультикультурной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мультиязычной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аудиторией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7.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Лучшая практика организации выравнивающего обучения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8.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Лучшая практика преподавания аспирантами и магистрантами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9.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Лучшая практика организации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проблемного и проектного обучения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Кандидаты на соискание премии по номинациям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«Лучшая открытая лекция»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и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«Лучший мастер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класс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(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практикум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)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»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проводят открытое занятие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Продолжительность занятия –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45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минут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В качестве слушателей и участников выступают студе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нты ТГУ и других университетов Томска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Особенностью конкурса является то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что преподаватель проводит занятие со студентами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которые в данный момент не посещают ни один из его курсов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Лекция может носить научно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популярный характер или узкоспециализированный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Во втором случае в заявке необходимо сформулировать четкие критерии отбора слушателей и участников «открытой» лекции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мастер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класса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практикума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 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Даты проведения открытых занятий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14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декабря –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конкурсный смотр открытых лекций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15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декабря –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конкурсный смот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р открытых мастер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классов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(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практикумов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)  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4472C4"/>
          <w:sz w:val="24"/>
          <w:szCs w:val="24"/>
          <w:u w:color="444444"/>
        </w:rPr>
      </w:pPr>
      <w:r>
        <w:rPr>
          <w:rFonts w:ascii="Times New Roman" w:hAnsi="Times New Roman"/>
          <w:color w:val="4472C4"/>
          <w:sz w:val="24"/>
          <w:szCs w:val="24"/>
          <w:u w:color="444444"/>
        </w:rPr>
        <w:t xml:space="preserve">Для подачи заявки на </w:t>
      </w:r>
      <w:r>
        <w:rPr>
          <w:rFonts w:ascii="Times New Roman" w:hAnsi="Times New Roman"/>
          <w:color w:val="4472C4"/>
          <w:sz w:val="24"/>
          <w:szCs w:val="24"/>
          <w:u w:color="4472C4"/>
          <w:shd w:val="clear" w:color="auto" w:fill="FFFFFF"/>
        </w:rPr>
        <w:t xml:space="preserve">соискание премии по номинациям 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«Лучшая открытая лекция»</w:t>
      </w:r>
      <w:r>
        <w:rPr>
          <w:rFonts w:ascii="Times New Roman" w:hAnsi="Times New Roman"/>
          <w:color w:val="4472C4"/>
          <w:sz w:val="24"/>
          <w:szCs w:val="24"/>
          <w:u w:color="4472C4"/>
          <w:shd w:val="clear" w:color="auto" w:fill="FFFFFF"/>
        </w:rPr>
        <w:t xml:space="preserve"> и 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«Лучший мастер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-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 xml:space="preserve">класс 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(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практикум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)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 xml:space="preserve">» </w:t>
      </w:r>
      <w:r>
        <w:rPr>
          <w:rFonts w:ascii="Times New Roman" w:hAnsi="Times New Roman"/>
          <w:color w:val="4472C4"/>
          <w:sz w:val="24"/>
          <w:szCs w:val="24"/>
          <w:u w:color="4472C4"/>
          <w:shd w:val="clear" w:color="auto" w:fill="FFFFFF"/>
        </w:rPr>
        <w:t>используйте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 xml:space="preserve"> Форму 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1.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Кандидаты на соискание премии по остальным номинациям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Лучшая практика </w:t>
      </w:r>
      <w:r>
        <w:rPr>
          <w:rFonts w:ascii="Times New Roman" w:hAnsi="Times New Roman"/>
          <w:b/>
          <w:bCs/>
          <w:sz w:val="24"/>
          <w:szCs w:val="24"/>
        </w:rPr>
        <w:t>оценки образовательных результатов с участием студентов»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«Лучшая практика подготовки студентов к олимпиаде»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«Лучшая практика организации образования с участием работодателей и выпускников»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D37" w:rsidRDefault="00C21AE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«Л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учшая практика работы с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мультикультурной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мультиязычной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аудиторией»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- 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Лучшая практика организации выравнивающего обучения»</w:t>
      </w:r>
    </w:p>
    <w:p w:rsidR="002C5D37" w:rsidRDefault="00C21AE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«Лучшая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практика преподавания аспирантами и магистрантами»</w:t>
      </w:r>
    </w:p>
    <w:p w:rsidR="002C5D37" w:rsidRDefault="00C21AE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«Лучшая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практика организации проблемного и проектного обучения»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предоставляют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комиссии описание своей практики и полученных результатов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не более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2000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знаков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),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а также в виде приложения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: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учебно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-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методические средства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оценочные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lastRenderedPageBreak/>
        <w:t>карты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анкеты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тесты и др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.),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ссылки на 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</w:rPr>
        <w:t>интернет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-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ресурсы</w:t>
      </w:r>
      <w:proofErr w:type="spellEnd"/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социальные сети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сайты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ЭОР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),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список авторских пу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бликаций по теме конкурса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(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при наличии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).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>Проводят публичную презентацию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.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Продолжительность презентации – 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 xml:space="preserve">10 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минут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.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Даты проведения презентаций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14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декабря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презентация практики организации и проблемного обучения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15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декабря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презентация практик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практика организации выравнивающего обучения</w:t>
      </w:r>
    </w:p>
    <w:p w:rsidR="002C5D37" w:rsidRDefault="00C21AE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практика преподавания аспирантами и магистрантами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16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декабря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презентации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оценки образовательных результатов с участием студентов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организации образования с участием работодателей и выпускников 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17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декабря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презентации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практик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: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подготовки студентов к олимпиаде</w:t>
      </w:r>
    </w:p>
    <w:p w:rsidR="002C5D37" w:rsidRDefault="00C21A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работы с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мультикультурной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мультиязычной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аудиторией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:rsidR="002C5D37" w:rsidRDefault="00C21AE2">
      <w:pPr>
        <w:tabs>
          <w:tab w:val="left" w:pos="5953"/>
        </w:tabs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18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декабря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презентации практик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: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4472C4"/>
          <w:sz w:val="24"/>
          <w:szCs w:val="24"/>
          <w:u w:color="444444"/>
        </w:rPr>
      </w:pPr>
      <w:r>
        <w:rPr>
          <w:rFonts w:ascii="Times New Roman" w:hAnsi="Times New Roman"/>
          <w:color w:val="4472C4"/>
          <w:sz w:val="24"/>
          <w:szCs w:val="24"/>
          <w:u w:color="444444"/>
        </w:rPr>
        <w:t xml:space="preserve">Для подачи заявки на </w:t>
      </w:r>
      <w:r>
        <w:rPr>
          <w:rFonts w:ascii="Times New Roman" w:hAnsi="Times New Roman"/>
          <w:color w:val="4472C4"/>
          <w:sz w:val="24"/>
          <w:szCs w:val="24"/>
          <w:u w:color="4472C4"/>
          <w:shd w:val="clear" w:color="auto" w:fill="FFFFFF"/>
        </w:rPr>
        <w:t>соискание премии по данным номинациям используйте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 xml:space="preserve"> Форму </w:t>
      </w:r>
      <w:r>
        <w:rPr>
          <w:rFonts w:ascii="Times New Roman" w:hAnsi="Times New Roman"/>
          <w:b/>
          <w:bCs/>
          <w:color w:val="4472C4"/>
          <w:sz w:val="24"/>
          <w:szCs w:val="24"/>
          <w:u w:color="4472C4"/>
          <w:shd w:val="clear" w:color="auto" w:fill="FFFFFF"/>
        </w:rPr>
        <w:t>2.</w:t>
      </w:r>
    </w:p>
    <w:p w:rsidR="002C5D37" w:rsidRDefault="002C5D37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</w:p>
    <w:p w:rsidR="002C5D37" w:rsidRDefault="00C21AE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Выдвижение на конкурс производится кандидатами на соискание </w:t>
      </w:r>
      <w:r>
        <w:rPr>
          <w:rFonts w:ascii="Times New Roman" w:hAnsi="Times New Roman"/>
          <w:b/>
          <w:bCs/>
          <w:sz w:val="24"/>
          <w:szCs w:val="24"/>
        </w:rPr>
        <w:t>премии самостоятельно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для выдвижения на конкурс выписки </w:t>
      </w:r>
      <w:proofErr w:type="gramStart"/>
      <w:r>
        <w:rPr>
          <w:rFonts w:ascii="Times New Roman" w:hAnsi="Times New Roman"/>
          <w:color w:val="444444"/>
          <w:sz w:val="24"/>
          <w:szCs w:val="24"/>
          <w:u w:color="444444"/>
        </w:rPr>
        <w:t>из</w:t>
      </w:r>
      <w:proofErr w:type="gramEnd"/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</w:t>
      </w:r>
      <w:proofErr w:type="gramStart"/>
      <w:r>
        <w:rPr>
          <w:rFonts w:ascii="Times New Roman" w:hAnsi="Times New Roman"/>
          <w:color w:val="444444"/>
          <w:sz w:val="24"/>
          <w:szCs w:val="24"/>
          <w:u w:color="444444"/>
        </w:rPr>
        <w:t>решение</w:t>
      </w:r>
      <w:proofErr w:type="gramEnd"/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ученого Совета факультета 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не требуется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.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 Заявка заполняется 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</w:rPr>
        <w:t>электронно</w:t>
      </w:r>
      <w:proofErr w:type="spellEnd"/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.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Заявки принимаются по адресу 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bestedu</w:t>
      </w:r>
      <w:proofErr w:type="spellEnd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@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tsu</w:t>
      </w:r>
      <w:proofErr w:type="spellEnd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ru</w:t>
      </w:r>
      <w:proofErr w:type="spellEnd"/>
    </w:p>
    <w:p w:rsidR="002C5D37" w:rsidRDefault="00C21AE2">
      <w:pPr>
        <w:shd w:val="clear" w:color="auto" w:fill="FFFFFF"/>
        <w:spacing w:before="150"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 xml:space="preserve">Сроки 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проведения конкурса</w:t>
      </w:r>
      <w:r>
        <w:rPr>
          <w:rFonts w:ascii="Times New Roman" w:hAnsi="Times New Roman"/>
          <w:b/>
          <w:bCs/>
          <w:color w:val="444444"/>
          <w:sz w:val="24"/>
          <w:szCs w:val="24"/>
          <w:u w:color="444444"/>
        </w:rPr>
        <w:t>: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с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23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ноября по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23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декабря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. </w:t>
      </w:r>
    </w:p>
    <w:p w:rsidR="002C5D37" w:rsidRDefault="00C21AE2">
      <w:pPr>
        <w:shd w:val="clear" w:color="auto" w:fill="FFFFFF"/>
        <w:spacing w:before="150"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1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этап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: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прием заявок – с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23.11.2015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по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06.12.2015;</w:t>
      </w:r>
    </w:p>
    <w:p w:rsidR="002C5D37" w:rsidRDefault="00C21AE2">
      <w:pPr>
        <w:shd w:val="clear" w:color="auto" w:fill="FFFFFF"/>
        <w:spacing w:before="150"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этап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: </w:t>
      </w:r>
      <w:proofErr w:type="gramStart"/>
      <w:r>
        <w:rPr>
          <w:rFonts w:ascii="Times New Roman" w:hAnsi="Times New Roman"/>
          <w:color w:val="444444"/>
          <w:sz w:val="24"/>
          <w:szCs w:val="24"/>
          <w:u w:color="444444"/>
        </w:rPr>
        <w:t>техническими</w:t>
      </w:r>
      <w:proofErr w:type="gramEnd"/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 экспертиза заявок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-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с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07. 12. 2015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по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10.12.2015</w:t>
      </w:r>
    </w:p>
    <w:p w:rsidR="002C5D37" w:rsidRDefault="00C21AE2">
      <w:pPr>
        <w:shd w:val="clear" w:color="auto" w:fill="FFFFFF"/>
        <w:spacing w:before="150"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3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этап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: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работа конкурсных комиссий – с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14.12.2015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по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17. 12. 2015</w:t>
      </w:r>
    </w:p>
    <w:p w:rsidR="002C5D37" w:rsidRDefault="00C21AE2">
      <w:pPr>
        <w:shd w:val="clear" w:color="auto" w:fill="FFFFFF"/>
        <w:spacing w:before="150" w:after="75" w:line="240" w:lineRule="auto"/>
        <w:ind w:right="150"/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</w:rPr>
      </w:pP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4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этап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: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подведение и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тогов конкурса – с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28.11.2015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 xml:space="preserve">по </w:t>
      </w:r>
      <w:r>
        <w:rPr>
          <w:rFonts w:ascii="Times New Roman" w:hAnsi="Times New Roman"/>
          <w:color w:val="444444"/>
          <w:sz w:val="24"/>
          <w:szCs w:val="24"/>
          <w:u w:color="444444"/>
        </w:rPr>
        <w:t>23.12.2015</w:t>
      </w:r>
    </w:p>
    <w:p w:rsidR="002C5D37" w:rsidRDefault="002C5D37">
      <w:pPr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  <w:shd w:val="clear" w:color="auto" w:fill="FFFFFF"/>
        </w:rPr>
      </w:pPr>
    </w:p>
    <w:p w:rsidR="002C5D37" w:rsidRDefault="00C21AE2">
      <w:pPr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Присуждение премий состоится на заседании ученого совета ТГУ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.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Всего присуждается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18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премий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,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в каждой номинации определяются по три победителя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. </w:t>
      </w:r>
    </w:p>
    <w:p w:rsidR="002C5D37" w:rsidRDefault="00C21AE2">
      <w:pPr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 место –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75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 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000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рублей</w:t>
      </w:r>
    </w:p>
    <w:p w:rsidR="002C5D37" w:rsidRDefault="00C21AE2">
      <w:pPr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 место –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60 000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рублей</w:t>
      </w:r>
    </w:p>
    <w:p w:rsidR="002C5D37" w:rsidRDefault="00C21AE2">
      <w:pPr>
        <w:rPr>
          <w:rFonts w:ascii="Times New Roman" w:eastAsia="Times New Roman" w:hAnsi="Times New Roman" w:cs="Times New Roman"/>
          <w:color w:val="444444"/>
          <w:sz w:val="24"/>
          <w:szCs w:val="24"/>
          <w:u w:color="444444"/>
          <w:shd w:val="clear" w:color="auto" w:fill="FFFFFF"/>
        </w:rPr>
      </w:pP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  <w:lang w:val="en-US"/>
        </w:rPr>
        <w:t>III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 место –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45 000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рублей </w:t>
      </w:r>
    </w:p>
    <w:p w:rsidR="002C5D37" w:rsidRDefault="00C21AE2"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Получить консультацию по заполнению конкурсной заявки можно у </w:t>
      </w:r>
      <w:proofErr w:type="spellStart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Тышецкой</w:t>
      </w:r>
      <w:proofErr w:type="spellEnd"/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 Анны Юрьевны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(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Центр развития качества образования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) 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>по тел</w:t>
      </w:r>
      <w:r>
        <w:rPr>
          <w:rFonts w:ascii="Times New Roman" w:hAnsi="Times New Roman"/>
          <w:color w:val="444444"/>
          <w:sz w:val="24"/>
          <w:szCs w:val="24"/>
          <w:u w:color="444444"/>
          <w:shd w:val="clear" w:color="auto" w:fill="FFFFFF"/>
        </w:rPr>
        <w:t xml:space="preserve">. +79039504494.  </w:t>
      </w:r>
    </w:p>
    <w:sectPr w:rsidR="002C5D3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E2" w:rsidRDefault="00C21AE2">
      <w:pPr>
        <w:spacing w:after="0" w:line="240" w:lineRule="auto"/>
      </w:pPr>
      <w:r>
        <w:separator/>
      </w:r>
    </w:p>
  </w:endnote>
  <w:endnote w:type="continuationSeparator" w:id="0">
    <w:p w:rsidR="00C21AE2" w:rsidRDefault="00C2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37" w:rsidRDefault="002C5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E2" w:rsidRDefault="00C21AE2">
      <w:pPr>
        <w:spacing w:after="0" w:line="240" w:lineRule="auto"/>
      </w:pPr>
      <w:r>
        <w:separator/>
      </w:r>
    </w:p>
  </w:footnote>
  <w:footnote w:type="continuationSeparator" w:id="0">
    <w:p w:rsidR="00C21AE2" w:rsidRDefault="00C2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37" w:rsidRDefault="002C5D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905"/>
    <w:multiLevelType w:val="hybridMultilevel"/>
    <w:tmpl w:val="B98489EC"/>
    <w:numStyleLink w:val="a"/>
  </w:abstractNum>
  <w:abstractNum w:abstractNumId="1">
    <w:nsid w:val="62A34C00"/>
    <w:multiLevelType w:val="hybridMultilevel"/>
    <w:tmpl w:val="B98489EC"/>
    <w:styleLink w:val="a"/>
    <w:lvl w:ilvl="0" w:tplc="A59E249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EA71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C217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CB40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4A9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6AB2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A25E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CD5F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479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F887882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4C4BD8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A42A2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A48EFA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C8D20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A8FF54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28EB9C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7672F6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8BBC4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5D37"/>
    <w:rsid w:val="002C5D37"/>
    <w:rsid w:val="0039598E"/>
    <w:rsid w:val="00C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2015-11-27T08:57:00Z</dcterms:created>
  <dcterms:modified xsi:type="dcterms:W3CDTF">2015-11-27T08:57:00Z</dcterms:modified>
</cp:coreProperties>
</file>